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120"/>
        <w:jc w:val="center"/>
      </w:pPr>
      <w:r>
        <w:t xml:space="preserve">BOOTH READY — FIRST FIVE EVALUATION PARTNERS ADDENDUM</w:t>
      </w:r>
    </w:p>
    <w:p>
      <w:pPr>
        <w:spacing w:after="160"/>
        <w:jc w:val="center"/>
      </w:pPr>
      <w:r>
        <w:rPr>
          <w:i/>
          <w:iCs/>
          <w:color w:val="5B4A3E"/>
        </w:rPr>
        <w:t xml:space="preserve">Free evaluation package in exchange for structured feedback</w:t>
      </w:r>
    </w:p>
    <w:p>
      <w:pPr>
        <w:spacing w:after="160"/>
      </w:pPr>
      <w:r>
        <w:t xml:space="preserve">This Addendum modifies the Booth Ready Service Agreement (the “Agreement”) for one (1) project only, between </w:t>
      </w:r>
      <w:r>
        <w:rPr>
          <w:b/>
          <w:bCs/>
        </w:rPr>
        <w:t xml:space="preserve">Mike Vendetti</w:t>
      </w:r>
      <w:r>
        <w:t xml:space="preserve"> (“Provider”) and the Client identified below (“Evaluation Partner”), and is offered solely to the first five (5) qualifying Evaluation Partners who accept it. All other terms of the Agreement remain in full force unless expressly modified below.</w:t>
      </w:r>
    </w:p>
    <w:p>
      <w:pPr>
        <w:pStyle w:val="Heading3"/>
        <w:spacing w:after="120"/>
      </w:pPr>
      <w:r>
        <w:t xml:space="preserve">1.  Purpose of the Evaluation</w:t>
      </w:r>
    </w:p>
    <w:p>
      <w:pPr>
        <w:spacing w:after="60"/>
      </w:pPr>
      <w:r>
        <w:t xml:space="preserve">Booth Ready is a new service. Provider is delivering the first five engagements free of charge in order to (a) pressure-test the five-document package under real production conditions, (b) gather structured feedback from working authors, narrators, and studios, and (c) refine the templates, workflow, and documentation before pricing scales. Evaluation Partners are explicitly invited to suggest improvements; their feedback may shape future versions of the service.</w:t>
      </w:r>
    </w:p>
    <w:p>
      <w:pPr>
        <w:pStyle w:val="Heading3"/>
        <w:spacing w:after="120"/>
      </w:pPr>
      <w:r>
        <w:t xml:space="preserve">2.  Eligibility</w:t>
      </w:r>
    </w:p>
    <w:p>
      <w:pPr>
        <w:spacing w:after="60"/>
      </w:pPr>
      <w:r>
        <w:t xml:space="preserve">To qualify, Evaluation Partner warrants that at least one of the following is true at the time of acceptance:</w:t>
      </w:r>
    </w:p>
    <w:p>
      <w:pPr>
        <w:pStyle w:val="ListParagraph"/>
        <w:numPr>
          <w:ilvl w:val="0"/>
          <w:numId w:val="2"/>
        </w:numPr>
        <w:spacing w:after="60"/>
      </w:pPr>
      <w:r>
        <w:t xml:space="preserve">Evaluation Partner is a published author with at least one previously released book (print, ebook, or audiobook), and is the rights holder of the manuscript submitted under this engagement.</w:t>
      </w:r>
    </w:p>
    <w:p>
      <w:pPr>
        <w:pStyle w:val="ListParagraph"/>
        <w:numPr>
          <w:ilvl w:val="0"/>
          <w:numId w:val="2"/>
        </w:numPr>
        <w:spacing w:after="60"/>
      </w:pPr>
      <w:r>
        <w:t xml:space="preserve">Evaluation Partner is a professional or working narrator with an active ACX, Findaway Voices, or comparable narrator profile, or with at least one audiobook completed or in production.</w:t>
      </w:r>
    </w:p>
    <w:p>
      <w:pPr>
        <w:pStyle w:val="ListParagraph"/>
        <w:numPr>
          <w:ilvl w:val="0"/>
          <w:numId w:val="2"/>
        </w:numPr>
        <w:spacing w:after="60"/>
      </w:pPr>
      <w:r>
        <w:t xml:space="preserve">Evaluation Partner is the owner or producer of an audiobook studio currently producing one or more titles for distribution.</w:t>
      </w:r>
    </w:p>
    <w:p>
      <w:pPr>
        <w:pStyle w:val="Heading3"/>
        <w:spacing w:after="120"/>
      </w:pPr>
      <w:r>
        <w:t xml:space="preserve">3.  Price &amp; Payment (modifies §2 of the Agreement)</w:t>
      </w:r>
    </w:p>
    <w:p>
      <w:pPr>
        <w:spacing w:after="60"/>
      </w:pPr>
      <w:r>
        <w:t xml:space="preserve">The flat fee of US $99 is waived in full for this engagement. No payment of any kind is due from Evaluation Partner. This waiver applies to one (1) manuscript only and is not transferable, stackable, or extendable to future books.</w:t>
      </w:r>
    </w:p>
    <w:p>
      <w:pPr>
        <w:pStyle w:val="Heading3"/>
        <w:spacing w:after="120"/>
      </w:pPr>
      <w:r>
        <w:t xml:space="preserve">4.  Feedback Deliverable</w:t>
      </w:r>
    </w:p>
    <w:p>
      <w:pPr>
        <w:spacing w:after="60"/>
      </w:pPr>
      <w:r>
        <w:t xml:space="preserve">In exchange for the waived fee, Evaluation Partner agrees to complete the Booth Ready Evaluation Feedback Form within fourteen (14) calendar days of receiving the full five-document package. The form covers what worked, what did not, what was missing, and any concrete suggestions for improvement. Honest critical feedback is the entire point of the program; a negative or mixed review will not result in any charge.</w:t>
      </w:r>
    </w:p>
    <w:p>
      <w:pPr>
        <w:spacing w:after="60"/>
      </w:pPr>
      <w:r>
        <w:t xml:space="preserve">Provider may use the feedback internally without restriction to refine the service. Provider may publish short quoted excerpts (attributed to Evaluation Partner’s name and, optionally, book title) only with Evaluation Partner’s written approval of the specific quote. Anonymized aggregated learnings (e.g., “three of five partners asked for a separate accent guide”) may be referenced publicly without further approval.</w:t>
      </w:r>
    </w:p>
    <w:p>
      <w:pPr>
        <w:pStyle w:val="Heading3"/>
        <w:spacing w:after="120"/>
      </w:pPr>
      <w:r>
        <w:t xml:space="preserve">5.  Turnaround (unchanged)</w:t>
      </w:r>
    </w:p>
    <w:p>
      <w:pPr>
        <w:spacing w:after="60"/>
      </w:pPr>
      <w:r>
        <w:t xml:space="preserve">Standard Booth Ready turnaround applies: Chapter One preview within 3–5 business days, full package within 5–7 business days of preview approval. Evaluation engagements are scheduled in the order accepted.</w:t>
      </w:r>
    </w:p>
    <w:p>
      <w:pPr>
        <w:pStyle w:val="Heading3"/>
        <w:spacing w:after="120"/>
      </w:pPr>
      <w:r>
        <w:t xml:space="preserve">6.  All Other Terms</w:t>
      </w:r>
    </w:p>
    <w:p>
      <w:pPr>
        <w:spacing w:after="200"/>
      </w:pPr>
      <w:r>
        <w:t xml:space="preserve">Every other clause of the Service Agreement and the accompanying NDA &amp; AI Processing Consent — including the manuscript rights warranty, intellectual property licensing, confidentiality, AI processing consent, data retention, and Colorado governing law — applies to this engagement without modification. If any term of this Addendum conflicts with the Agreement, this Addendum controls for this project only.</w:t>
      </w:r>
    </w:p>
    <w:p>
      <w:pPr>
        <w:pStyle w:val="Heading3"/>
        <w:keepNext/>
        <w:keepLines/>
        <w:spacing w:after="80" w:before="80"/>
      </w:pPr>
      <w:r>
        <w:rPr>
          <w:b/>
          <w:bCs/>
          <w:color w:val="6B1A1A"/>
          <w:sz w:val="18"/>
          <w:szCs w:val="18"/>
        </w:rPr>
        <w:t xml:space="preserve">Signatures</w:t>
      </w:r>
    </w:p>
    <w:p>
      <w:pPr>
        <w:keepNext/>
        <w:keepLines/>
        <w:spacing w:after="160"/>
      </w:pPr>
      <w:r>
        <w:rPr>
          <w:i/>
          <w:iCs/>
          <w:color w:val="5B4A3E"/>
          <w:sz w:val="18"/>
          <w:szCs w:val="18"/>
        </w:rPr>
        <w:t xml:space="preserve">By signing below, both parties accept the terms of this Addendum and confirm that this engagement is being offered under the First Five Evaluation Partners program. Electronic signatures are accepted and have the same legal effect as handwritten signatures under the federal E-SIGN Act (15 U.S.C. §7001) and Colorado UETA (C.R.S. §24-71.3-101 et seq.).</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500"/>
        <w:gridCol w:w="1080"/>
        <w:gridCol w:w="4500"/>
      </w:tblGrid>
      <w:tr>
        <w:tc>
          <w:tcPr>
            <w:tcW w:type="dxa" w:w="4500"/>
            <w:tcBorders>
              <w:top w:val="none" w:color="FFFFFF" w:sz="0"/>
              <w:left w:val="none" w:color="FFFFFF" w:sz="0"/>
              <w:bottom w:val="none" w:color="FFFFFF" w:sz="0"/>
              <w:right w:val="none" w:color="FFFFFF" w:sz="0"/>
            </w:tcBorders>
            <w:tcMar>
              <w:top w:type="dxa" w:w="360"/>
              <w:left w:type="dxa" w:w="0"/>
              <w:bottom w:type="dxa" w:w="20"/>
              <w:right w:type="dxa" w:w="0"/>
            </w:tcMar>
          </w:tcPr>
          <w:p>
            <w:r>
              <w:t xml:space="preserve"> </w:t>
            </w:r>
          </w:p>
        </w:tc>
        <w:tc>
          <w:tcPr>
            <w:tcW w:type="dxa" w:w="1080"/>
            <w:tcBorders>
              <w:top w:val="none" w:color="FFFFFF" w:sz="0"/>
              <w:left w:val="none" w:color="FFFFFF" w:sz="0"/>
              <w:bottom w:val="none" w:color="FFFFFF" w:sz="0"/>
              <w:right w:val="none" w:color="FFFFFF" w:sz="0"/>
            </w:tcBorders>
          </w:tcPr>
          <w:p>
            <w:r>
              <w:t xml:space="preserve"> </w:t>
            </w:r>
          </w:p>
        </w:tc>
        <w:tc>
          <w:tcPr>
            <w:tcW w:type="dxa" w:w="4500"/>
            <w:tcBorders>
              <w:top w:val="none" w:color="FFFFFF" w:sz="0"/>
              <w:left w:val="none" w:color="FFFFFF" w:sz="0"/>
              <w:bottom w:val="none" w:color="FFFFFF" w:sz="0"/>
              <w:right w:val="none" w:color="FFFFFF" w:sz="0"/>
            </w:tcBorders>
            <w:tcMar>
              <w:top w:type="dxa" w:w="360"/>
              <w:left w:type="dxa" w:w="0"/>
              <w:bottom w:type="dxa" w:w="20"/>
              <w:right w:type="dxa" w:w="0"/>
            </w:tcMar>
          </w:tcPr>
          <w:p>
            <w:r>
              <w:t xml:space="preserve"> </w:t>
            </w:r>
          </w:p>
        </w:tc>
      </w:tr>
      <w:tr>
        <w:tc>
          <w:tcPr>
            <w:tcW w:type="dxa" w:w="4500"/>
            <w:tcBorders>
              <w:top w:val="single" w:color="1F1611" w:sz="6"/>
              <w:left w:val="none" w:color="FFFFFF" w:sz="0"/>
              <w:bottom w:val="none" w:color="FFFFFF" w:sz="0"/>
              <w:right w:val="none" w:color="FFFFFF" w:sz="0"/>
            </w:tcBorders>
            <w:tcMar>
              <w:top w:type="dxa" w:w="60"/>
              <w:left w:type="dxa" w:w="0"/>
              <w:bottom w:type="dxa" w:w="20"/>
              <w:right w:type="dxa" w:w="0"/>
            </w:tcMar>
          </w:tcPr>
          <w:p>
            <w:r>
              <w:rPr>
                <w:color w:val="5B4A3E"/>
                <w:sz w:val="16"/>
                <w:szCs w:val="16"/>
              </w:rPr>
              <w:t xml:space="preserve">Evaluation Partner signature  ·  date</w:t>
            </w:r>
          </w:p>
        </w:tc>
        <w:tc>
          <w:tcPr>
            <w:tcW w:type="dxa" w:w="1080"/>
            <w:tcBorders>
              <w:top w:val="none" w:color="FFFFFF" w:sz="0"/>
              <w:left w:val="none" w:color="FFFFFF" w:sz="0"/>
              <w:bottom w:val="none" w:color="FFFFFF" w:sz="0"/>
              <w:right w:val="none" w:color="FFFFFF" w:sz="0"/>
            </w:tcBorders>
          </w:tcPr>
          <w:p>
            <w:r>
              <w:t xml:space="preserve"> </w:t>
            </w:r>
          </w:p>
        </w:tc>
        <w:tc>
          <w:tcPr>
            <w:tcW w:type="dxa" w:w="4500"/>
            <w:tcBorders>
              <w:top w:val="single" w:color="1F1611" w:sz="6"/>
              <w:left w:val="none" w:color="FFFFFF" w:sz="0"/>
              <w:bottom w:val="none" w:color="FFFFFF" w:sz="0"/>
              <w:right w:val="none" w:color="FFFFFF" w:sz="0"/>
            </w:tcBorders>
            <w:tcMar>
              <w:top w:type="dxa" w:w="60"/>
              <w:left w:type="dxa" w:w="0"/>
              <w:bottom w:type="dxa" w:w="20"/>
              <w:right w:type="dxa" w:w="0"/>
            </w:tcMar>
          </w:tcPr>
          <w:p>
            <w:r>
              <w:rPr>
                <w:color w:val="5B4A3E"/>
                <w:sz w:val="16"/>
                <w:szCs w:val="16"/>
              </w:rPr>
              <w:t xml:space="preserve">Mike Vendetti — Provider  ·  date</w:t>
            </w:r>
          </w:p>
        </w:tc>
      </w:tr>
    </w:tbl>
    <w:p>
      <w:pPr>
        <w:spacing w:after="0"/>
      </w:pPr>
      <w:r>
        <w:rPr>
          <w:b/>
          <w:bCs/>
          <w:color w:val="5B4A3E"/>
          <w:sz w:val="18"/>
          <w:szCs w:val="18"/>
        </w:rPr>
        <w:t xml:space="preserve">Manuscript title: </w:t>
      </w:r>
      <w:r>
        <w:rPr>
          <w:color w:val="5B4A3E"/>
          <w:sz w:val="18"/>
          <w:szCs w:val="18"/>
        </w:rPr>
        <w:t xml:space="preserve">__________________________________     </w:t>
      </w:r>
      <w:r>
        <w:rPr>
          <w:b/>
          <w:bCs/>
          <w:color w:val="5B4A3E"/>
          <w:sz w:val="18"/>
          <w:szCs w:val="18"/>
        </w:rPr>
        <w:t xml:space="preserve">Slot number (1–5): </w:t>
      </w:r>
      <w:r>
        <w:rPr>
          <w:color w:val="5B4A3E"/>
          <w:sz w:val="18"/>
          <w:szCs w:val="18"/>
        </w:rPr>
        <w:t xml:space="preserve">_____</w:t>
      </w:r>
    </w:p>
    <w:sectPr>
      <w:headerReference w:type="default" r:id="rId7"/>
      <w:footerReference w:type="default" r:id="rId8"/>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5B4A3E"/>
        <w:sz w:val="16"/>
        <w:szCs w:val="16"/>
      </w:rPr>
      <w:t xml:space="preserve">Page </w:t>
    </w:r>
    <w:r>
      <w:rPr>
        <w:color w:val="5B4A3E"/>
        <w:sz w:val="16"/>
        <w:szCs w:val="16"/>
      </w:rPr>
      <w:fldChar w:fldCharType="begin"/>
      <w:instrText xml:space="preserve">PAGE</w:instrText>
      <w:fldChar w:fldCharType="separate"/>
      <w:fldChar w:fldCharType="end"/>
    </w:r>
    <w:r>
      <w:rPr>
        <w:color w:val="5B4A3E"/>
        <w:sz w:val="16"/>
        <w:szCs w:val="16"/>
      </w:rPr>
      <w:t xml:space="preserve"> of </w:t>
    </w:r>
    <w:r>
      <w:rPr>
        <w:color w:val="5B4A3E"/>
        <w:sz w:val="16"/>
        <w:szCs w:val="16"/>
      </w:rPr>
      <w:fldChar w:fldCharType="begin"/>
      <w:instrText xml:space="preserve">NUMPAGES</w:instrText>
      <w:fldChar w:fldCharType="separate"/>
      <w:fldChar w:fldCharType="end"/>
    </w:r>
    <w:r>
      <w:rPr>
        <w:color w:val="D4D1CA"/>
        <w:sz w:val="16"/>
        <w:szCs w:val="16"/>
      </w:rPr>
      <w:t xml:space="preserve">   ·   </w:t>
    </w:r>
    <w:r>
      <w:rPr>
        <w:color w:val="5B4A3E"/>
        <w:sz w:val="16"/>
        <w:szCs w:val="16"/>
      </w:rPr>
      <w:t xml:space="preserve">mike@anumber1.com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6B1A1A"/>
        <w:sz w:val="18"/>
        <w:szCs w:val="18"/>
      </w:rPr>
      <w:t xml:space="preserve">Booth Ready Narrator Scripts</w:t>
    </w:r>
    <w:r>
      <w:rPr>
        <w:color w:val="D4D1CA"/>
        <w:sz w:val="18"/>
        <w:szCs w:val="18"/>
      </w:rPr>
      <w:t xml:space="preserve">   ·   </w:t>
    </w:r>
    <w:r>
      <w:rPr>
        <w:color w:val="5B4A3E"/>
        <w:sz w:val="18"/>
        <w:szCs w:val="18"/>
      </w:rPr>
      <w:t xml:space="preserve">Mike Vendetti  ·  mikevendetti.com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540" w:hanging="240"/>
      </w:pPr>
    </w:lvl>
  </w:abstractNum>
  <w:abstractNum w:abstractNumId="3" w15:restartNumberingAfterBreak="0">
    <w:multiLevelType w:val="hybridMultilevel"/>
    <w:lvl w:ilvl="0" w15:tentative="1">
      <w:start w:val="1"/>
      <w:numFmt w:val="lowerLetter"/>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54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60" w:before="60"/>
      <w:outlineLvl w:val="0"/>
    </w:pPr>
    <w:rPr>
      <w:rFonts w:ascii="Arial" w:cs="Arial" w:eastAsia="Arial" w:hAnsi="Arial"/>
      <w:b/>
      <w:bCs/>
      <w:color w:val="6B1A1A"/>
      <w:sz w:val="30"/>
      <w:szCs w:val="30"/>
    </w:rPr>
  </w:style>
  <w:style w:type="paragraph" w:styleId="Heading3">
    <w:name w:val="Heading 3"/>
    <w:basedOn w:val="Normal"/>
    <w:next w:val="Normal"/>
    <w:qFormat/>
    <w:pPr>
      <w:spacing w:after="40" w:before="120"/>
      <w:outlineLvl w:val="2"/>
    </w:pPr>
    <w:rPr>
      <w:rFonts w:ascii="Arial" w:cs="Arial" w:eastAsia="Arial" w:hAnsi="Arial"/>
      <w:b/>
      <w:bCs/>
      <w:color w:val="6B1A1A"/>
      <w:sz w:val="18"/>
      <w:szCs w:val="1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2026-06-03T04:15:04.515Z</dcterms:created>
  <dcterms:modified xsi:type="dcterms:W3CDTF">2026-06-03T04:15:04.515Z</dcterms:modified>
</cp:coreProperties>
</file>

<file path=docProps/custom.xml><?xml version="1.0" encoding="utf-8"?>
<Properties xmlns="http://schemas.openxmlformats.org/officeDocument/2006/custom-properties" xmlns:vt="http://schemas.openxmlformats.org/officeDocument/2006/docPropsVTypes"/>
</file>